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黑体" w:hAnsi="黑体" w:eastAsia="黑体"/>
          <w:kern w:val="0"/>
          <w:sz w:val="20"/>
          <w:szCs w:val="20"/>
        </w:rPr>
      </w:pP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autoSpaceDE w:val="0"/>
        <w:autoSpaceDN w:val="0"/>
        <w:adjustRightInd w:val="0"/>
        <w:spacing w:line="489" w:lineRule="exact"/>
        <w:jc w:val="center"/>
        <w:rPr>
          <w:rFonts w:hint="eastAsia" w:ascii="方正小标宋简体" w:eastAsia="方正小标宋简体"/>
          <w:bCs/>
          <w:kern w:val="0"/>
          <w:sz w:val="32"/>
          <w:szCs w:val="32"/>
        </w:rPr>
      </w:pPr>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autoSpaceDE w:val="0"/>
        <w:autoSpaceDN w:val="0"/>
        <w:adjustRightInd w:val="0"/>
        <w:spacing w:line="288" w:lineRule="exact"/>
        <w:rPr>
          <w:rFonts w:hint="eastAsia"/>
          <w:kern w:val="0"/>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88" w:lineRule="exact"/>
        <w:ind w:right="105" w:rightChars="50"/>
        <w:textAlignment w:val="auto"/>
        <w:rPr>
          <w:rFonts w:hint="eastAsia" w:ascii="宋体" w:eastAsia="宋体"/>
          <w:kern w:val="0"/>
          <w:sz w:val="18"/>
          <w:szCs w:val="18"/>
          <w:highlight w:val="none"/>
          <w:lang w:val="en-US" w:eastAsia="zh-CN"/>
        </w:rPr>
      </w:pPr>
      <w:r>
        <w:rPr>
          <w:rFonts w:hint="eastAsia"/>
          <w:kern w:val="0"/>
          <w:sz w:val="18"/>
          <w:szCs w:val="18"/>
          <w:highlight w:val="none"/>
          <w:lang w:val="en-US" w:eastAsia="zh-TW"/>
        </w:rPr>
        <w:t>单位</w:t>
      </w:r>
      <w:r>
        <w:rPr>
          <w:rFonts w:hint="eastAsia"/>
          <w:kern w:val="0"/>
          <w:sz w:val="18"/>
          <w:szCs w:val="18"/>
          <w:highlight w:val="none"/>
          <w:lang w:val="en-US" w:eastAsia="zh-CN"/>
        </w:rPr>
        <w:t xml:space="preserve">:辽宁省高速公路运营管理有限责任公司   </w:t>
      </w:r>
      <w:r>
        <w:rPr>
          <w:rFonts w:hint="eastAsia"/>
          <w:kern w:val="0"/>
          <w:sz w:val="18"/>
          <w:szCs w:val="18"/>
          <w:highlight w:val="none"/>
          <w:lang w:eastAsia="zh-TW"/>
        </w:rPr>
        <w:t>申报资格名称</w:t>
      </w:r>
      <w:r>
        <w:rPr>
          <w:rFonts w:hint="eastAsia"/>
          <w:kern w:val="0"/>
          <w:sz w:val="18"/>
          <w:szCs w:val="18"/>
          <w:highlight w:val="none"/>
          <w:lang w:val="en-US" w:eastAsia="zh-CN"/>
        </w:rPr>
        <w:t xml:space="preserve">:交通工程（机电工程）   </w:t>
      </w:r>
      <w:r>
        <w:rPr>
          <w:rFonts w:hint="eastAsia"/>
          <w:kern w:val="0"/>
          <w:sz w:val="18"/>
          <w:szCs w:val="18"/>
          <w:highlight w:val="none"/>
        </w:rPr>
        <w:t>申报专业（方向）</w:t>
      </w:r>
      <w:r>
        <w:rPr>
          <w:rFonts w:hint="eastAsia" w:ascii="宋体" w:hAnsi="宋体"/>
          <w:kern w:val="0"/>
          <w:sz w:val="18"/>
          <w:szCs w:val="18"/>
          <w:highlight w:val="none"/>
          <w:lang w:val="en-US" w:eastAsia="zh-CN"/>
        </w:rPr>
        <w:t>:工程师</w:t>
      </w:r>
    </w:p>
    <w:tbl>
      <w:tblPr>
        <w:tblStyle w:val="3"/>
        <w:tblW w:w="0" w:type="auto"/>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605"/>
        <w:gridCol w:w="82"/>
        <w:gridCol w:w="816"/>
        <w:gridCol w:w="1171"/>
        <w:gridCol w:w="345"/>
        <w:gridCol w:w="1162"/>
        <w:gridCol w:w="259"/>
        <w:gridCol w:w="117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25"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李楠</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性别</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女</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指挥调度中心</w:t>
            </w:r>
          </w:p>
          <w:p>
            <w:pPr>
              <w:autoSpaceDE w:val="0"/>
              <w:autoSpaceDN w:val="0"/>
              <w:adjustRightInd w:val="0"/>
              <w:jc w:val="center"/>
              <w:rPr>
                <w:rFonts w:hint="eastAsia" w:ascii="宋体"/>
                <w:kern w:val="0"/>
              </w:rPr>
            </w:pPr>
            <w:r>
              <w:rPr>
                <w:rFonts w:hint="eastAsia" w:ascii="Times New Roman" w:hAnsi="Times New Roman" w:eastAsia="宋体" w:cs="Times New Roman"/>
                <w:kern w:val="0"/>
                <w:sz w:val="21"/>
                <w:szCs w:val="21"/>
                <w:lang w:val="en-US" w:eastAsia="zh-CN"/>
              </w:rPr>
              <w:t>调度员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32"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ascii="Times New Roman" w:hAnsi="Times New Roman" w:eastAsia="宋体" w:cs="Times New Roman"/>
                <w:kern w:val="0"/>
                <w:sz w:val="21"/>
                <w:szCs w:val="21"/>
                <w:lang w:val="en-US" w:eastAsia="zh-CN"/>
              </w:rPr>
              <w:t>1987.11.11</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szCs w:val="21"/>
                <w:lang w:val="en-US" w:eastAsia="zh-CN"/>
              </w:rPr>
              <w:t>汉</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ascii="Times New Roman" w:hAnsi="Times New Roman" w:eastAsia="宋体" w:cs="Times New Roman"/>
                <w:szCs w:val="21"/>
                <w:lang w:val="en-US" w:eastAsia="zh-CN"/>
              </w:rPr>
              <w:t>2013年7月毕业于辽东学院信息管理与信息系统专业，学制2年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sz w:val="20"/>
                <w:szCs w:val="20"/>
              </w:rPr>
            </w:pPr>
            <w:r>
              <w:rPr>
                <w:rFonts w:hint="eastAsia" w:ascii="Times New Roman" w:hAnsi="Times New Roman" w:eastAsia="宋体" w:cs="Times New Roman"/>
                <w:kern w:val="0"/>
                <w:sz w:val="21"/>
                <w:szCs w:val="21"/>
                <w:lang w:val="en-US" w:eastAsia="zh-CN"/>
              </w:rPr>
              <w:t>大学本科</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0"/>
                <w:szCs w:val="20"/>
              </w:rPr>
            </w:pPr>
            <w:r>
              <w:rPr>
                <w:rFonts w:hint="eastAsia" w:ascii="Times New Roman" w:hAnsi="Times New Roman" w:eastAsia="宋体" w:cs="Times New Roman"/>
                <w:kern w:val="0"/>
                <w:sz w:val="21"/>
                <w:szCs w:val="21"/>
                <w:lang w:val="en-US" w:eastAsia="zh-CN"/>
              </w:rPr>
              <w:t>2013.07</w:t>
            </w:r>
            <w:r>
              <w:rPr>
                <w:rFonts w:hint="eastAsia" w:ascii="宋体"/>
                <w:kern w:val="0"/>
                <w:sz w:val="20"/>
                <w:szCs w:val="20"/>
              </w:rPr>
              <w:t xml:space="preserve"> </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rFonts w:ascii="宋体"/>
                <w:kern w:val="0"/>
              </w:rPr>
            </w:pPr>
            <w:r>
              <w:rPr>
                <w:rFonts w:hint="eastAsia" w:ascii="宋体"/>
                <w:kern w:val="0"/>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0"/>
                <w:szCs w:val="20"/>
              </w:rPr>
            </w:pPr>
            <w:r>
              <w:rPr>
                <w:rFonts w:hint="eastAsia" w:ascii="Times New Roman" w:hAnsi="Times New Roman" w:eastAsia="宋体" w:cs="Times New Roman"/>
                <w:kern w:val="0"/>
                <w:sz w:val="21"/>
                <w:szCs w:val="21"/>
                <w:lang w:val="en-US" w:eastAsia="zh-CN"/>
              </w:rPr>
              <w:t>助理工程师2016.08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75"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9"/>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辽宁省高速公路管理局           2013-2014年度省直机关健美操团体赛一等奖</w:t>
            </w:r>
          </w:p>
          <w:p>
            <w:pPr>
              <w:autoSpaceDE w:val="0"/>
              <w:autoSpaceDN w:val="0"/>
              <w:adjustRightInd w:val="0"/>
              <w:jc w:val="left"/>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辽宁省高速公路运营管理有限责任公司   2020年度公司工会积极分子</w:t>
            </w:r>
          </w:p>
          <w:p>
            <w:pPr>
              <w:autoSpaceDE w:val="0"/>
              <w:autoSpaceDN w:val="0"/>
              <w:adjustRightInd w:val="0"/>
              <w:jc w:val="left"/>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辽宁省高速公路运营管理有限责任公司   2021年度公司先进调度班组</w:t>
            </w:r>
          </w:p>
          <w:p>
            <w:pPr>
              <w:jc w:val="left"/>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 xml:space="preserve">辽宁省高速公路运营管理有限责任公司   </w:t>
            </w:r>
            <w:r>
              <w:rPr>
                <w:rFonts w:hint="eastAsia" w:eastAsia="宋体"/>
                <w:kern w:val="0"/>
                <w:sz w:val="21"/>
                <w:szCs w:val="21"/>
                <w:lang w:val="en-US" w:eastAsia="zh-CN"/>
              </w:rPr>
              <w:t>2021年第八届“中国路姐团队”</w:t>
            </w:r>
          </w:p>
          <w:p>
            <w:pPr>
              <w:autoSpaceDE w:val="0"/>
              <w:autoSpaceDN w:val="0"/>
              <w:adjustRightInd w:val="0"/>
              <w:jc w:val="left"/>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辽宁省高速公路运营管理有限责任公司   2022年度疫情防控先进个人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09"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9"/>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rPr>
            </w:pPr>
            <w:r>
              <w:rPr>
                <w:rFonts w:hint="eastAsia"/>
                <w:kern w:val="0"/>
              </w:rPr>
              <w:t>年度考核</w:t>
            </w:r>
          </w:p>
          <w:p>
            <w:pPr>
              <w:autoSpaceDE w:val="0"/>
              <w:autoSpaceDN w:val="0"/>
              <w:adjustRightInd w:val="0"/>
              <w:jc w:val="center"/>
              <w:rPr>
                <w:rFonts w:hint="eastAsia"/>
                <w:kern w:val="0"/>
                <w:sz w:val="20"/>
                <w:szCs w:val="20"/>
              </w:rPr>
            </w:pPr>
            <w:r>
              <w:rPr>
                <w:rFonts w:hint="eastAsia"/>
                <w:kern w:val="0"/>
              </w:rPr>
              <w:t>结果</w:t>
            </w:r>
          </w:p>
        </w:tc>
        <w:tc>
          <w:tcPr>
            <w:tcW w:w="4019"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eastAsia"/>
                <w:kern w:val="0"/>
                <w:sz w:val="20"/>
                <w:szCs w:val="20"/>
              </w:rPr>
            </w:pPr>
            <w:r>
              <w:rPr>
                <w:rFonts w:hint="eastAsia"/>
                <w:kern w:val="0"/>
                <w:sz w:val="20"/>
                <w:szCs w:val="20"/>
              </w:rPr>
              <w:t xml:space="preserve"> </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ascii="宋体"/>
                <w:kern w:val="0"/>
              </w:rPr>
              <w:t>从事何种</w:t>
            </w:r>
          </w:p>
          <w:p>
            <w:pPr>
              <w:autoSpaceDE w:val="0"/>
              <w:autoSpaceDN w:val="0"/>
              <w:adjustRightInd w:val="0"/>
              <w:jc w:val="center"/>
              <w:rPr>
                <w:rFonts w:hint="eastAsia" w:ascii="宋体"/>
                <w:kern w:val="0"/>
              </w:rPr>
            </w:pPr>
            <w:r>
              <w:rPr>
                <w:rFonts w:hint="eastAsia" w:ascii="宋体"/>
                <w:kern w:val="0"/>
              </w:rPr>
              <w:t>工作</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eastAsia" w:ascii="宋体"/>
                <w:kern w:val="0"/>
                <w:sz w:val="20"/>
                <w:szCs w:val="20"/>
              </w:rPr>
            </w:pPr>
            <w:r>
              <w:rPr>
                <w:rFonts w:hint="eastAsia" w:ascii="宋体"/>
                <w:kern w:val="0"/>
                <w:sz w:val="20"/>
                <w:szCs w:val="20"/>
              </w:rPr>
              <w:t xml:space="preserve">  </w:t>
            </w:r>
            <w:r>
              <w:rPr>
                <w:rFonts w:hint="eastAsia" w:ascii="Times New Roman" w:hAnsi="Times New Roman" w:eastAsia="宋体" w:cs="Times New Roman"/>
                <w:kern w:val="0"/>
                <w:sz w:val="21"/>
                <w:szCs w:val="21"/>
                <w:lang w:val="en-US" w:eastAsia="zh-CN"/>
              </w:rPr>
              <w:t>指挥调度管理工作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起止时间</w:t>
            </w:r>
          </w:p>
        </w:tc>
        <w:tc>
          <w:tcPr>
            <w:tcW w:w="2069"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766"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学历或职务</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65"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p>
        </w:tc>
        <w:tc>
          <w:tcPr>
            <w:tcW w:w="160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cs="Times New Roman"/>
                <w:kern w:val="0"/>
                <w:sz w:val="21"/>
                <w:szCs w:val="21"/>
                <w:lang w:val="en-US" w:eastAsia="zh-CN"/>
              </w:rPr>
              <w:t>2008.09-</w:t>
            </w:r>
            <w:r>
              <w:rPr>
                <w:rFonts w:hint="eastAsia" w:ascii="Times New Roman" w:hAnsi="Times New Roman" w:eastAsia="宋体" w:cs="Times New Roman"/>
                <w:kern w:val="0"/>
                <w:sz w:val="21"/>
                <w:szCs w:val="21"/>
                <w:lang w:val="en-US" w:eastAsia="zh-CN"/>
              </w:rPr>
              <w:t>2011.07</w:t>
            </w:r>
          </w:p>
          <w:p>
            <w:pPr>
              <w:autoSpaceDE w:val="0"/>
              <w:autoSpaceDN w:val="0"/>
              <w:adjustRightInd w:val="0"/>
              <w:jc w:val="center"/>
              <w:rPr>
                <w:rFonts w:hint="eastAsia" w:ascii="Times New Roman" w:hAnsi="Times New Roman" w:eastAsia="宋体" w:cs="Times New Roman"/>
                <w:kern w:val="0"/>
                <w:sz w:val="21"/>
                <w:szCs w:val="21"/>
                <w:lang w:val="en-US" w:eastAsia="zh-CN"/>
              </w:rPr>
            </w:pPr>
          </w:p>
          <w:p>
            <w:pPr>
              <w:autoSpaceDE w:val="0"/>
              <w:autoSpaceDN w:val="0"/>
              <w:adjustRightInd w:val="0"/>
              <w:jc w:val="center"/>
              <w:rPr>
                <w:rFonts w:hint="default" w:ascii="Times New Roman" w:hAnsi="Times New Roman" w:eastAsia="宋体" w:cs="Times New Roman"/>
                <w:kern w:val="0"/>
                <w:sz w:val="21"/>
                <w:szCs w:val="21"/>
                <w:lang w:val="en-US" w:eastAsia="zh-CN"/>
              </w:rPr>
            </w:pPr>
            <w:r>
              <w:rPr>
                <w:rFonts w:hint="eastAsia" w:cs="Times New Roman"/>
                <w:kern w:val="0"/>
                <w:sz w:val="21"/>
                <w:szCs w:val="21"/>
                <w:lang w:val="en-US" w:eastAsia="zh-CN"/>
              </w:rPr>
              <w:t>2011.09-</w:t>
            </w:r>
            <w:r>
              <w:rPr>
                <w:rFonts w:hint="default" w:ascii="Times New Roman" w:hAnsi="Times New Roman" w:eastAsia="宋体" w:cs="Times New Roman"/>
                <w:kern w:val="0"/>
                <w:sz w:val="21"/>
                <w:szCs w:val="21"/>
                <w:lang w:val="en-US" w:eastAsia="zh-CN"/>
              </w:rPr>
              <w:t>2013.07</w:t>
            </w:r>
          </w:p>
          <w:p>
            <w:pPr>
              <w:autoSpaceDE w:val="0"/>
              <w:autoSpaceDN w:val="0"/>
              <w:adjustRightInd w:val="0"/>
              <w:jc w:val="center"/>
              <w:rPr>
                <w:rFonts w:hint="default" w:ascii="Times New Roman" w:hAnsi="Times New Roman" w:eastAsia="宋体" w:cs="Times New Roman"/>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2013.07-2016.06</w:t>
            </w: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2016.0</w:t>
            </w:r>
            <w:r>
              <w:rPr>
                <w:rFonts w:hint="eastAsia" w:cs="Times New Roman"/>
                <w:color w:val="auto"/>
                <w:kern w:val="0"/>
                <w:sz w:val="21"/>
                <w:szCs w:val="21"/>
                <w:lang w:val="en-US" w:eastAsia="zh-CN"/>
              </w:rPr>
              <w:t>7</w:t>
            </w:r>
            <w:r>
              <w:rPr>
                <w:rFonts w:hint="eastAsia" w:ascii="Times New Roman" w:hAnsi="Times New Roman" w:eastAsia="宋体" w:cs="Times New Roman"/>
                <w:color w:val="auto"/>
                <w:kern w:val="0"/>
                <w:sz w:val="21"/>
                <w:szCs w:val="21"/>
                <w:lang w:val="en-US" w:eastAsia="zh-CN"/>
              </w:rPr>
              <w:t>-2020.01</w:t>
            </w: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2020.01  至今</w:t>
            </w:r>
          </w:p>
        </w:tc>
        <w:tc>
          <w:tcPr>
            <w:tcW w:w="2069" w:type="dxa"/>
            <w:gridSpan w:val="3"/>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辽东学院</w:t>
            </w:r>
          </w:p>
          <w:p>
            <w:pPr>
              <w:autoSpaceDE w:val="0"/>
              <w:autoSpaceDN w:val="0"/>
              <w:adjustRightInd w:val="0"/>
              <w:jc w:val="center"/>
              <w:rPr>
                <w:rFonts w:hint="eastAsia" w:ascii="Times New Roman" w:hAnsi="Times New Roman" w:eastAsia="宋体" w:cs="Times New Roman"/>
                <w:kern w:val="0"/>
                <w:sz w:val="21"/>
                <w:szCs w:val="21"/>
                <w:lang w:val="en-US" w:eastAsia="zh-CN"/>
              </w:rPr>
            </w:pPr>
          </w:p>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辽东学院</w:t>
            </w:r>
          </w:p>
          <w:p>
            <w:pPr>
              <w:autoSpaceDE w:val="0"/>
              <w:autoSpaceDN w:val="0"/>
              <w:adjustRightInd w:val="0"/>
              <w:jc w:val="center"/>
              <w:rPr>
                <w:rFonts w:hint="eastAsia" w:ascii="Times New Roman" w:hAnsi="Times New Roman" w:eastAsia="宋体" w:cs="Times New Roman"/>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辽宁省高速公路管理局</w:t>
            </w: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辽宁省高速公路运营管理有限责任公司</w:t>
            </w: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辽宁省高速公路运营管理有限责任公司</w:t>
            </w:r>
          </w:p>
        </w:tc>
        <w:tc>
          <w:tcPr>
            <w:tcW w:w="1766" w:type="dxa"/>
            <w:gridSpan w:val="3"/>
            <w:tcBorders>
              <w:top w:val="single" w:color="auto" w:sz="4" w:space="0"/>
              <w:left w:val="single" w:color="auto" w:sz="4" w:space="0"/>
              <w:bottom w:val="single" w:color="auto" w:sz="4" w:space="0"/>
              <w:right w:val="nil"/>
            </w:tcBorders>
            <w:noWrap w:val="0"/>
            <w:vAlign w:val="top"/>
          </w:tcPr>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计算机应用技术</w:t>
            </w:r>
          </w:p>
          <w:p>
            <w:pPr>
              <w:autoSpaceDE w:val="0"/>
              <w:autoSpaceDN w:val="0"/>
              <w:adjustRightInd w:val="0"/>
              <w:jc w:val="center"/>
              <w:rPr>
                <w:rFonts w:hint="eastAsia" w:ascii="Times New Roman" w:hAnsi="Times New Roman" w:eastAsia="宋体" w:cs="Times New Roman"/>
                <w:kern w:val="0"/>
                <w:sz w:val="21"/>
                <w:szCs w:val="21"/>
                <w:lang w:val="en-US" w:eastAsia="zh-CN"/>
              </w:rPr>
            </w:pPr>
          </w:p>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信息管理与信息系统</w:t>
            </w: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北李官站</w:t>
            </w: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北李官站</w:t>
            </w: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指调中心</w:t>
            </w:r>
          </w:p>
        </w:tc>
        <w:tc>
          <w:tcPr>
            <w:tcW w:w="1176"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专科</w:t>
            </w:r>
          </w:p>
          <w:p>
            <w:pPr>
              <w:autoSpaceDE w:val="0"/>
              <w:autoSpaceDN w:val="0"/>
              <w:adjustRightInd w:val="0"/>
              <w:jc w:val="center"/>
              <w:rPr>
                <w:rFonts w:hint="eastAsia" w:ascii="Times New Roman" w:hAnsi="Times New Roman" w:eastAsia="宋体" w:cs="Times New Roman"/>
                <w:kern w:val="0"/>
                <w:sz w:val="21"/>
                <w:szCs w:val="21"/>
                <w:lang w:val="en-US" w:eastAsia="zh-CN"/>
              </w:rPr>
            </w:pPr>
          </w:p>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本科</w:t>
            </w:r>
          </w:p>
          <w:p>
            <w:pPr>
              <w:autoSpaceDE w:val="0"/>
              <w:autoSpaceDN w:val="0"/>
              <w:adjustRightInd w:val="0"/>
              <w:jc w:val="center"/>
              <w:rPr>
                <w:rFonts w:hint="eastAsia" w:ascii="Times New Roman" w:hAnsi="Times New Roman" w:eastAsia="宋体" w:cs="Times New Roman"/>
                <w:kern w:val="0"/>
                <w:sz w:val="21"/>
                <w:szCs w:val="21"/>
                <w:lang w:val="en-US" w:eastAsia="zh-CN"/>
              </w:rPr>
            </w:pPr>
          </w:p>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color w:val="auto"/>
                <w:kern w:val="0"/>
                <w:sz w:val="21"/>
                <w:szCs w:val="21"/>
                <w:lang w:val="en-US" w:eastAsia="zh-CN"/>
              </w:rPr>
              <w:t>收费员</w:t>
            </w:r>
          </w:p>
          <w:p>
            <w:pPr>
              <w:autoSpaceDE w:val="0"/>
              <w:autoSpaceDN w:val="0"/>
              <w:adjustRightInd w:val="0"/>
              <w:jc w:val="center"/>
              <w:rPr>
                <w:rFonts w:hint="default" w:ascii="Times New Roman" w:hAnsi="Times New Roman" w:eastAsia="宋体" w:cs="Times New Roman"/>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收费员</w:t>
            </w: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eastAsia" w:ascii="Times New Roman" w:hAnsi="Times New Roman" w:eastAsia="宋体" w:cs="Times New Roman"/>
                <w:color w:val="auto"/>
                <w:kern w:val="0"/>
                <w:sz w:val="21"/>
                <w:szCs w:val="21"/>
                <w:lang w:val="en-US" w:eastAsia="zh-CN"/>
              </w:rPr>
            </w:pPr>
          </w:p>
          <w:p>
            <w:pPr>
              <w:autoSpaceDE w:val="0"/>
              <w:autoSpaceDN w:val="0"/>
              <w:adjustRightInd w:val="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调度员</w:t>
            </w:r>
          </w:p>
        </w:tc>
        <w:tc>
          <w:tcPr>
            <w:tcW w:w="1486"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全日制</w:t>
            </w:r>
          </w:p>
          <w:p>
            <w:pPr>
              <w:autoSpaceDE w:val="0"/>
              <w:autoSpaceDN w:val="0"/>
              <w:adjustRightInd w:val="0"/>
              <w:jc w:val="center"/>
              <w:rPr>
                <w:rFonts w:hint="eastAsia" w:ascii="Times New Roman" w:hAnsi="Times New Roman" w:eastAsia="宋体" w:cs="Times New Roman"/>
                <w:kern w:val="0"/>
                <w:sz w:val="21"/>
                <w:szCs w:val="21"/>
                <w:lang w:val="en-US" w:eastAsia="zh-CN"/>
              </w:rPr>
            </w:pPr>
          </w:p>
          <w:p>
            <w:pPr>
              <w:autoSpaceDE w:val="0"/>
              <w:autoSpaceDN w:val="0"/>
              <w:adjustRightInd w:val="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200" w:hRule="atLeast"/>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9"/>
            <w:tcBorders>
              <w:top w:val="single" w:color="auto" w:sz="4" w:space="0"/>
              <w:left w:val="single" w:color="auto" w:sz="4" w:space="0"/>
              <w:bottom w:val="nil"/>
              <w:right w:val="single" w:color="auto" w:sz="4" w:space="0"/>
            </w:tcBorders>
            <w:noWrap w:val="0"/>
            <w:vAlign w:val="center"/>
          </w:tcPr>
          <w:p>
            <w:pPr>
              <w:autoSpaceDE w:val="0"/>
              <w:autoSpaceDN w:val="0"/>
              <w:adjustRightInd w:val="0"/>
              <w:ind w:firstLine="180" w:firstLineChars="100"/>
              <w:jc w:val="center"/>
              <w:rPr>
                <w:rFonts w:ascii="宋体"/>
                <w:kern w:val="0"/>
                <w:sz w:val="18"/>
                <w:szCs w:val="18"/>
              </w:rPr>
            </w:pPr>
            <w:r>
              <w:rPr>
                <w:rFonts w:ascii="宋体"/>
                <w:kern w:val="0"/>
                <w:sz w:val="18"/>
                <w:szCs w:val="18"/>
              </w:rPr>
              <w:t xml:space="preserve">     </w:t>
            </w:r>
          </w:p>
          <w:p>
            <w:pPr>
              <w:autoSpaceDE w:val="0"/>
              <w:autoSpaceDN w:val="0"/>
              <w:adjustRightInd w:val="0"/>
              <w:ind w:firstLine="180" w:firstLineChars="100"/>
              <w:jc w:val="center"/>
              <w:rPr>
                <w:rFonts w:ascii="宋体"/>
                <w:kern w:val="0"/>
                <w:sz w:val="18"/>
                <w:szCs w:val="18"/>
              </w:rPr>
            </w:pPr>
          </w:p>
          <w:p>
            <w:pPr>
              <w:jc w:val="left"/>
              <w:rPr>
                <w:rFonts w:hint="eastAsia" w:ascii="Times New Roman" w:hAnsi="Times New Roman" w:eastAsia="宋体" w:cs="Times New Roman"/>
                <w:kern w:val="0"/>
                <w:sz w:val="21"/>
                <w:szCs w:val="21"/>
                <w:lang w:val="en-US" w:eastAsia="zh-CN"/>
              </w:rPr>
            </w:pPr>
            <w:r>
              <w:rPr>
                <w:rFonts w:hint="eastAsia"/>
                <w:szCs w:val="21"/>
                <w:lang w:val="en-US" w:eastAsia="zh-CN"/>
              </w:rPr>
              <w:t xml:space="preserve"> </w:t>
            </w:r>
            <w:r>
              <w:rPr>
                <w:rFonts w:hint="eastAsia" w:ascii="Times New Roman" w:hAnsi="Times New Roman" w:eastAsia="宋体" w:cs="Times New Roman"/>
                <w:kern w:val="0"/>
                <w:sz w:val="21"/>
                <w:szCs w:val="21"/>
                <w:lang w:val="en-US" w:eastAsia="zh-CN"/>
              </w:rPr>
              <w:t>该同志自任职以来，对工作认真负责，有较强的工作责任感，具有较强的独立分析问题和解决问题的能力，为人正直、热情乐于助人。在指挥调度工作中勤勤恳恳，表现突出，专业理论知识雄厚，具有较强的业务能力。同时在路网运行分析、机电系统建设、维护管理等工作方面均取得了一定成绩。符合中级工程师的条件和资格。</w:t>
            </w:r>
          </w:p>
          <w:p>
            <w:pPr>
              <w:jc w:val="left"/>
              <w:rPr>
                <w:rFonts w:hint="eastAsia" w:ascii="Times New Roman" w:hAnsi="Times New Roman" w:eastAsia="宋体" w:cs="Times New Roman"/>
                <w:kern w:val="0"/>
                <w:sz w:val="21"/>
                <w:szCs w:val="21"/>
                <w:lang w:val="en-US" w:eastAsia="zh-CN"/>
              </w:rPr>
            </w:pPr>
          </w:p>
          <w:p>
            <w:pPr>
              <w:ind w:firstLine="420" w:firstLineChars="200"/>
              <w:jc w:val="left"/>
              <w:rPr>
                <w:szCs w:val="21"/>
              </w:rPr>
            </w:pPr>
            <w:r>
              <w:rPr>
                <w:rFonts w:hint="eastAsia" w:ascii="Times New Roman" w:hAnsi="Times New Roman" w:eastAsia="宋体" w:cs="Times New Roman"/>
                <w:kern w:val="0"/>
                <w:sz w:val="21"/>
                <w:szCs w:val="21"/>
                <w:lang w:val="en-US" w:eastAsia="zh-CN"/>
              </w:rPr>
              <w:t>同意推荐李楠同志参加工程师的评审。</w:t>
            </w: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102" w:type="dxa"/>
            <w:gridSpan w:val="9"/>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102" w:type="dxa"/>
            <w:gridSpan w:val="9"/>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lang w:eastAsia="zh-TW"/>
              </w:rPr>
              <w:t xml:space="preserve"> 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autoSpaceDE w:val="0"/>
        <w:autoSpaceDN w:val="0"/>
        <w:adjustRightInd w:val="0"/>
        <w:jc w:val="left"/>
        <w:rPr>
          <w:kern w:val="0"/>
          <w:sz w:val="20"/>
          <w:szCs w:val="20"/>
        </w:rPr>
        <w:sectPr>
          <w:headerReference r:id="rId3" w:type="default"/>
          <w:pgSz w:w="11907" w:h="16840"/>
          <w:pgMar w:top="720" w:right="578" w:bottom="1440" w:left="1758" w:header="720" w:footer="720" w:gutter="0"/>
          <w:cols w:space="720" w:num="1"/>
        </w:sectPr>
      </w:pPr>
    </w:p>
    <w:tbl>
      <w:tblPr>
        <w:tblStyle w:val="3"/>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977"/>
        <w:gridCol w:w="3119"/>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9072"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lang w:val="en-US" w:eastAsia="zh-CN"/>
              </w:rPr>
            </w:pPr>
            <w:r>
              <w:rPr>
                <w:rFonts w:hint="eastAsia" w:ascii="宋体" w:hAnsi="宋体"/>
                <w:kern w:val="0"/>
                <w:sz w:val="24"/>
                <w:lang w:eastAsia="zh-TW"/>
              </w:rPr>
              <w:t>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5" w:hRule="atLeast"/>
        </w:trPr>
        <w:tc>
          <w:tcPr>
            <w:tcW w:w="9072" w:type="dxa"/>
            <w:gridSpan w:val="3"/>
            <w:tcBorders>
              <w:top w:val="single" w:color="auto" w:sz="4" w:space="0"/>
              <w:left w:val="single" w:color="auto" w:sz="4" w:space="0"/>
              <w:bottom w:val="single" w:color="auto" w:sz="4" w:space="0"/>
              <w:right w:val="single" w:color="auto" w:sz="4" w:space="0"/>
            </w:tcBorders>
            <w:noWrap w:val="0"/>
            <w:vAlign w:val="center"/>
          </w:tcPr>
          <w:p>
            <w:pPr>
              <w:numPr>
                <w:ilvl w:val="0"/>
                <w:numId w:val="0"/>
              </w:numPr>
              <w:autoSpaceDE w:val="0"/>
              <w:autoSpaceDN w:val="0"/>
              <w:adjustRightInd w:val="0"/>
              <w:rPr>
                <w:rFonts w:hint="eastAsia"/>
                <w:kern w:val="0"/>
                <w:szCs w:val="20"/>
              </w:rPr>
            </w:pPr>
            <w:r>
              <w:rPr>
                <w:rFonts w:hint="eastAsia"/>
                <w:b/>
                <w:bCs/>
                <w:kern w:val="0"/>
                <w:szCs w:val="20"/>
                <w:lang w:val="en-US" w:eastAsia="zh-CN"/>
              </w:rPr>
              <w:t>一、</w:t>
            </w:r>
            <w:r>
              <w:rPr>
                <w:rFonts w:hint="eastAsia"/>
                <w:b/>
                <w:bCs/>
                <w:kern w:val="0"/>
                <w:szCs w:val="20"/>
              </w:rPr>
              <w:t>主要业绩成果</w:t>
            </w:r>
            <w:r>
              <w:rPr>
                <w:rFonts w:hint="eastAsia"/>
                <w:kern w:val="0"/>
                <w:szCs w:val="20"/>
              </w:rPr>
              <w:t>：</w:t>
            </w:r>
          </w:p>
          <w:p>
            <w:pPr>
              <w:numPr>
                <w:ilvl w:val="0"/>
                <w:numId w:val="0"/>
              </w:numPr>
              <w:autoSpaceDE w:val="0"/>
              <w:autoSpaceDN w:val="0"/>
              <w:adjustRightInd w:val="0"/>
              <w:rPr>
                <w:rFonts w:hint="eastAsia"/>
                <w:kern w:val="0"/>
                <w:szCs w:val="20"/>
              </w:rPr>
            </w:pPr>
          </w:p>
          <w:tbl>
            <w:tblPr>
              <w:tblStyle w:val="3"/>
              <w:tblW w:w="8100" w:type="dxa"/>
              <w:tblInd w:w="-15" w:type="dxa"/>
              <w:shd w:val="clear" w:color="auto" w:fill="auto"/>
              <w:tblLayout w:type="fixed"/>
              <w:tblCellMar>
                <w:top w:w="0" w:type="dxa"/>
                <w:left w:w="0" w:type="dxa"/>
                <w:bottom w:w="0" w:type="dxa"/>
                <w:right w:w="0" w:type="dxa"/>
              </w:tblCellMar>
            </w:tblPr>
            <w:tblGrid>
              <w:gridCol w:w="1080"/>
              <w:gridCol w:w="1080"/>
              <w:gridCol w:w="3540"/>
              <w:gridCol w:w="1080"/>
              <w:gridCol w:w="1320"/>
            </w:tblGrid>
            <w:tr>
              <w:tblPrEx>
                <w:shd w:val="clear" w:color="auto" w:fill="auto"/>
                <w:tblCellMar>
                  <w:top w:w="0" w:type="dxa"/>
                  <w:left w:w="0" w:type="dxa"/>
                  <w:bottom w:w="0" w:type="dxa"/>
                  <w:right w:w="0" w:type="dxa"/>
                </w:tblCellMar>
              </w:tblPrEx>
              <w:trPr>
                <w:trHeight w:val="64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顺序</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完成时间</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项目等级</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承担责任</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2021.04</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辽宁省高速公路智慧监测平台建设项目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辽宁省高速公路收费站标准化绿色通道车辆核验区建设项目机电工程设计施工总承包</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2021.06</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辽宁省取消高速公路省界站收费站项目整体交工检测</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2021.01</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2020年辽宁省高速公路视频监控系统改造项目质量检测技术服务项目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2021.11</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2021年辽宁省收费系统服务器工作站及收费软件改造项目施工</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2021.11</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2021年指挥调度系统电视电话会议升级改造项目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bl>
          <w:p>
            <w:pPr>
              <w:autoSpaceDE w:val="0"/>
              <w:autoSpaceDN w:val="0"/>
              <w:adjustRightInd w:val="0"/>
              <w:jc w:val="both"/>
              <w:rPr>
                <w:rFonts w:ascii="宋体" w:hAnsi="宋体"/>
                <w:kern w:val="0"/>
              </w:rPr>
            </w:pPr>
          </w:p>
          <w:p>
            <w:pPr>
              <w:autoSpaceDE w:val="0"/>
              <w:autoSpaceDN w:val="0"/>
              <w:adjustRightInd w:val="0"/>
              <w:jc w:val="center"/>
              <w:rPr>
                <w:rFonts w:ascii="宋体" w:hAnsi="宋体"/>
                <w:kern w:val="0"/>
              </w:rPr>
            </w:pPr>
          </w:p>
          <w:p>
            <w:pPr>
              <w:autoSpaceDE w:val="0"/>
              <w:autoSpaceDN w:val="0"/>
              <w:adjustRightInd w:val="0"/>
              <w:rPr>
                <w:rFonts w:hint="eastAsia"/>
                <w:b/>
                <w:bCs/>
                <w:kern w:val="0"/>
                <w:szCs w:val="20"/>
              </w:rPr>
            </w:pPr>
            <w:r>
              <w:rPr>
                <w:rFonts w:hint="eastAsia"/>
                <w:b/>
                <w:bCs/>
                <w:kern w:val="0"/>
                <w:szCs w:val="20"/>
              </w:rPr>
              <w:t>二、获奖项目：</w:t>
            </w:r>
          </w:p>
          <w:p>
            <w:pPr>
              <w:autoSpaceDE w:val="0"/>
              <w:autoSpaceDN w:val="0"/>
              <w:adjustRightInd w:val="0"/>
              <w:ind w:left="420"/>
              <w:rPr>
                <w:rFonts w:hint="eastAsia"/>
                <w:kern w:val="0"/>
                <w:szCs w:val="20"/>
              </w:rPr>
            </w:pPr>
            <w:r>
              <w:rPr>
                <w:rFonts w:hint="eastAsia"/>
                <w:kern w:val="0"/>
                <w:szCs w:val="20"/>
              </w:rPr>
              <w:t>顺序         获奖项目        获奖名称      获奖等级    获奖时间     证书号</w:t>
            </w:r>
          </w:p>
          <w:p>
            <w:pPr>
              <w:autoSpaceDE w:val="0"/>
              <w:autoSpaceDN w:val="0"/>
              <w:adjustRightInd w:val="0"/>
              <w:rPr>
                <w:rFonts w:hint="eastAsia"/>
                <w:b/>
                <w:bCs/>
                <w:kern w:val="0"/>
                <w:szCs w:val="20"/>
              </w:rPr>
            </w:pPr>
          </w:p>
          <w:p>
            <w:pPr>
              <w:autoSpaceDE w:val="0"/>
              <w:autoSpaceDN w:val="0"/>
              <w:adjustRightInd w:val="0"/>
              <w:rPr>
                <w:rFonts w:hint="eastAsia"/>
                <w:b/>
                <w:bCs/>
                <w:kern w:val="0"/>
                <w:szCs w:val="20"/>
              </w:rPr>
            </w:pPr>
          </w:p>
          <w:p>
            <w:pPr>
              <w:autoSpaceDE w:val="0"/>
              <w:autoSpaceDN w:val="0"/>
              <w:adjustRightInd w:val="0"/>
              <w:rPr>
                <w:rFonts w:hint="eastAsia"/>
                <w:b/>
                <w:bCs/>
                <w:kern w:val="0"/>
                <w:szCs w:val="20"/>
              </w:rPr>
            </w:pPr>
            <w:r>
              <w:rPr>
                <w:rFonts w:hint="eastAsia"/>
                <w:b/>
                <w:bCs/>
                <w:kern w:val="0"/>
                <w:szCs w:val="20"/>
              </w:rPr>
              <w:t>三、论文情况</w:t>
            </w:r>
          </w:p>
          <w:tbl>
            <w:tblPr>
              <w:tblStyle w:val="3"/>
              <w:tblW w:w="8550" w:type="dxa"/>
              <w:tblInd w:w="-15" w:type="dxa"/>
              <w:tblLayout w:type="fixed"/>
              <w:tblCellMar>
                <w:top w:w="0" w:type="dxa"/>
                <w:left w:w="0" w:type="dxa"/>
                <w:bottom w:w="0" w:type="dxa"/>
                <w:right w:w="0" w:type="dxa"/>
              </w:tblCellMar>
            </w:tblPr>
            <w:tblGrid>
              <w:gridCol w:w="1080"/>
              <w:gridCol w:w="2985"/>
              <w:gridCol w:w="1635"/>
              <w:gridCol w:w="1770"/>
              <w:gridCol w:w="1080"/>
            </w:tblGrid>
            <w:tr>
              <w:tblPrEx>
                <w:tblCellMar>
                  <w:top w:w="0" w:type="dxa"/>
                  <w:left w:w="0" w:type="dxa"/>
                  <w:bottom w:w="0" w:type="dxa"/>
                  <w:right w:w="0" w:type="dxa"/>
                </w:tblCellMar>
              </w:tblPrEx>
              <w:trPr>
                <w:trHeight w:val="270" w:hRule="atLeast"/>
              </w:trPr>
              <w:tc>
                <w:tcPr>
                  <w:tcW w:w="108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顺序</w:t>
                  </w:r>
                </w:p>
              </w:tc>
              <w:tc>
                <w:tcPr>
                  <w:tcW w:w="2985"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论文名称</w:t>
                  </w:r>
                </w:p>
              </w:tc>
              <w:tc>
                <w:tcPr>
                  <w:tcW w:w="1635"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发表刊物</w:t>
                  </w:r>
                </w:p>
              </w:tc>
              <w:tc>
                <w:tcPr>
                  <w:tcW w:w="177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发表时间</w:t>
                  </w:r>
                </w:p>
              </w:tc>
              <w:tc>
                <w:tcPr>
                  <w:tcW w:w="108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作者名次</w:t>
                  </w:r>
                </w:p>
              </w:tc>
            </w:tr>
            <w:tr>
              <w:tblPrEx>
                <w:tblCellMar>
                  <w:top w:w="0" w:type="dxa"/>
                  <w:left w:w="0" w:type="dxa"/>
                  <w:bottom w:w="0" w:type="dxa"/>
                  <w:right w:w="0" w:type="dxa"/>
                </w:tblCellMar>
              </w:tblPrEx>
              <w:trPr>
                <w:trHeight w:val="600" w:hRule="atLeast"/>
              </w:trPr>
              <w:tc>
                <w:tcPr>
                  <w:tcW w:w="108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985"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高速公路机电设备故障的维修与维护研</w:t>
                  </w:r>
                </w:p>
              </w:tc>
              <w:tc>
                <w:tcPr>
                  <w:tcW w:w="1635"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科教创新与实践</w:t>
                  </w:r>
                </w:p>
              </w:tc>
              <w:tc>
                <w:tcPr>
                  <w:tcW w:w="177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2021年3月 第12期</w:t>
                  </w:r>
                </w:p>
              </w:tc>
              <w:tc>
                <w:tcPr>
                  <w:tcW w:w="108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第一作者 共2个作者</w:t>
                  </w:r>
                </w:p>
              </w:tc>
            </w:tr>
            <w:tr>
              <w:tblPrEx>
                <w:tblCellMar>
                  <w:top w:w="0" w:type="dxa"/>
                  <w:left w:w="0" w:type="dxa"/>
                  <w:bottom w:w="0" w:type="dxa"/>
                  <w:right w:w="0" w:type="dxa"/>
                </w:tblCellMar>
              </w:tblPrEx>
              <w:trPr>
                <w:trHeight w:val="480" w:hRule="atLeast"/>
              </w:trPr>
              <w:tc>
                <w:tcPr>
                  <w:tcW w:w="108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985"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高速公路机电设备安装技术和施工管理方法</w:t>
                  </w:r>
                </w:p>
              </w:tc>
              <w:tc>
                <w:tcPr>
                  <w:tcW w:w="1635"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科教创新与实践</w:t>
                  </w:r>
                </w:p>
              </w:tc>
              <w:tc>
                <w:tcPr>
                  <w:tcW w:w="177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2021年3月 第11期</w:t>
                  </w:r>
                </w:p>
              </w:tc>
              <w:tc>
                <w:tcPr>
                  <w:tcW w:w="1080" w:type="dxa"/>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第二作者 共2个作者</w:t>
                  </w:r>
                </w:p>
              </w:tc>
            </w:tr>
          </w:tbl>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22" w:hRule="atLeast"/>
        </w:trPr>
        <w:tc>
          <w:tcPr>
            <w:tcW w:w="297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311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77" w:hRule="atLeast"/>
        </w:trPr>
        <w:tc>
          <w:tcPr>
            <w:tcW w:w="9072"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rFonts w:hint="eastAsia"/>
                <w:b/>
                <w:bCs/>
                <w:kern w:val="0"/>
                <w:szCs w:val="20"/>
                <w:lang w:val="en-US" w:eastAsia="zh-CN"/>
              </w:rPr>
            </w:pPr>
            <w:r>
              <w:rPr>
                <w:rFonts w:hint="eastAsia"/>
                <w:b/>
                <w:bCs/>
                <w:kern w:val="0"/>
                <w:szCs w:val="20"/>
                <w:lang w:val="en-US" w:eastAsia="zh-CN"/>
              </w:rPr>
              <w:t>附页：</w:t>
            </w:r>
          </w:p>
          <w:p>
            <w:pPr>
              <w:autoSpaceDE w:val="0"/>
              <w:autoSpaceDN w:val="0"/>
              <w:adjustRightInd w:val="0"/>
              <w:rPr>
                <w:rFonts w:hint="eastAsia"/>
                <w:b/>
                <w:bCs/>
                <w:kern w:val="0"/>
                <w:szCs w:val="20"/>
                <w:lang w:val="en-US" w:eastAsia="zh-CN"/>
              </w:rPr>
            </w:pPr>
          </w:p>
          <w:p>
            <w:pPr>
              <w:autoSpaceDE w:val="0"/>
              <w:autoSpaceDN w:val="0"/>
              <w:adjustRightInd w:val="0"/>
              <w:rPr>
                <w:rFonts w:hint="default"/>
                <w:b/>
                <w:bCs/>
                <w:kern w:val="0"/>
                <w:szCs w:val="20"/>
                <w:lang w:val="en-US" w:eastAsia="zh-CN"/>
              </w:rPr>
            </w:pPr>
            <w:r>
              <w:rPr>
                <w:rFonts w:hint="eastAsia"/>
                <w:b/>
                <w:bCs/>
                <w:kern w:val="0"/>
                <w:szCs w:val="20"/>
                <w:lang w:val="en-US" w:eastAsia="zh-CN"/>
              </w:rPr>
              <w:t>主要业绩及成果</w:t>
            </w: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tbl>
            <w:tblPr>
              <w:tblStyle w:val="3"/>
              <w:tblW w:w="8100" w:type="dxa"/>
              <w:tblInd w:w="-15" w:type="dxa"/>
              <w:shd w:val="clear" w:color="auto" w:fill="auto"/>
              <w:tblLayout w:type="fixed"/>
              <w:tblCellMar>
                <w:top w:w="0" w:type="dxa"/>
                <w:left w:w="0" w:type="dxa"/>
                <w:bottom w:w="0" w:type="dxa"/>
                <w:right w:w="0" w:type="dxa"/>
              </w:tblCellMar>
            </w:tblPr>
            <w:tblGrid>
              <w:gridCol w:w="1080"/>
              <w:gridCol w:w="1080"/>
              <w:gridCol w:w="3540"/>
              <w:gridCol w:w="1080"/>
              <w:gridCol w:w="1320"/>
            </w:tblGrid>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2021年大连分公司革镇堡等隧道照明节能改造工程（第一标段）</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2021年大连分公司革镇堡等隧道照明节能改造工程（第二标段）</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2022.1</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2022年辽宁省高速公路机电系统设备设施升级改造项目设计施工总承包</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2022-2024年辽宁省高速公路鞍山分公司隧道机电设施日常养护项目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2022-2024年辽宁省高速公路朝阳分公司隧道机电设施</w:t>
                  </w:r>
                  <w:bookmarkStart w:id="0" w:name="_GoBack"/>
                  <w:bookmarkEnd w:id="0"/>
                  <w:r>
                    <w:rPr>
                      <w:rFonts w:hint="eastAsia" w:ascii="宋体" w:hAnsi="宋体" w:eastAsia="宋体" w:cs="宋体"/>
                      <w:i w:val="0"/>
                      <w:color w:val="000000"/>
                      <w:kern w:val="0"/>
                      <w:sz w:val="20"/>
                      <w:szCs w:val="20"/>
                      <w:u w:val="none"/>
                      <w:lang w:val="en-US" w:eastAsia="zh-CN" w:bidi="ar"/>
                    </w:rPr>
                    <w:t>日常养护项目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2022-2024年辽宁省高速公路大连分公司隧道机电设施日常养护项目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2022-2024年辽宁省高速公路葫芦岛分公司隧道机电设施日常养护项目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2022-2024年辽宁省高速公路阜新分公司隧道机电设施日常养护项目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2022-2024年辽宁省高速公路金普分公司隧道机电设施日常养护项目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r>
              <w:tblPrEx>
                <w:shd w:val="clear" w:color="auto" w:fill="auto"/>
                <w:tblCellMar>
                  <w:top w:w="0" w:type="dxa"/>
                  <w:left w:w="0" w:type="dxa"/>
                  <w:bottom w:w="0" w:type="dxa"/>
                  <w:right w:w="0" w:type="dxa"/>
                </w:tblCellMar>
              </w:tblPrEx>
              <w:trPr>
                <w:trHeight w:val="720" w:hRule="atLeast"/>
              </w:trPr>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2024.12</w:t>
                  </w:r>
                </w:p>
              </w:tc>
              <w:tc>
                <w:tcPr>
                  <w:tcW w:w="354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2022-2024年辽宁省高速公路营口分公司隧道机电设施日常养护项目</w:t>
                  </w:r>
                </w:p>
              </w:tc>
              <w:tc>
                <w:tcPr>
                  <w:tcW w:w="108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特大型项目</w:t>
                  </w:r>
                </w:p>
              </w:tc>
              <w:tc>
                <w:tcPr>
                  <w:tcW w:w="132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核心技术人员</w:t>
                  </w:r>
                </w:p>
              </w:tc>
            </w:tr>
          </w:tbl>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p>
            <w:pPr>
              <w:autoSpaceDE w:val="0"/>
              <w:autoSpaceDN w:val="0"/>
              <w:adjustRightInd w:val="0"/>
              <w:jc w:val="both"/>
              <w:rPr>
                <w:rFonts w:ascii="宋体" w:hAnsi="宋体"/>
                <w:kern w:val="0"/>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1658EB"/>
    <w:rsid w:val="0AF40AFB"/>
    <w:rsid w:val="1D4F34A8"/>
    <w:rsid w:val="4DCB34C2"/>
    <w:rsid w:val="4E7C4F64"/>
    <w:rsid w:val="56FD434F"/>
    <w:rsid w:val="7416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2022-09-26T04:17:00Z</dcterms:created>
  <dc:creator>辽高指调中心（孙辉）</dc:creator>
  <cp:lastModifiedBy>辽高指调中心（孙辉）</cp:lastModifiedBy>
  <cp:lastPrinted>2022-09-26T06:27:19Z</cp:lastPrinted>
  <dcterms:modified xsi:type="dcterms:W3CDTF">2022-09-26T06:32:12Z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